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1E" w:rsidRDefault="004D1D1E" w:rsidP="004D1D1E">
      <w:pPr>
        <w:rPr>
          <w:b/>
        </w:rPr>
      </w:pPr>
      <w:r>
        <w:rPr>
          <w:b/>
        </w:rPr>
        <w:t>Bulk Transfers</w:t>
      </w:r>
    </w:p>
    <w:p w:rsidR="004D1D1E" w:rsidRDefault="004D1D1E" w:rsidP="004D1D1E">
      <w:pPr>
        <w:rPr>
          <w:b/>
        </w:rPr>
      </w:pPr>
    </w:p>
    <w:p w:rsidR="004D1D1E" w:rsidRDefault="004D1D1E" w:rsidP="004D1D1E">
      <w:r>
        <w:t xml:space="preserve">This term covers </w:t>
      </w:r>
      <w:proofErr w:type="gramStart"/>
      <w:r>
        <w:t>pensions</w:t>
      </w:r>
      <w:proofErr w:type="gramEnd"/>
      <w:r>
        <w:t xml:space="preserve"> issues surrounding the transfer of pension rights either:</w:t>
      </w:r>
    </w:p>
    <w:p w:rsidR="004D1D1E" w:rsidRDefault="004D1D1E" w:rsidP="004D1D1E"/>
    <w:p w:rsidR="004D1D1E" w:rsidRDefault="004D1D1E" w:rsidP="004D1D1E">
      <w:pPr>
        <w:pStyle w:val="ListParagraph"/>
        <w:numPr>
          <w:ilvl w:val="0"/>
          <w:numId w:val="1"/>
        </w:numPr>
        <w:spacing w:after="200"/>
      </w:pPr>
      <w:r>
        <w:t>From the  LGPS to another pension scheme ; or</w:t>
      </w:r>
    </w:p>
    <w:p w:rsidR="004D1D1E" w:rsidRDefault="004D1D1E" w:rsidP="004D1D1E">
      <w:pPr>
        <w:pStyle w:val="ListParagraph"/>
      </w:pPr>
    </w:p>
    <w:p w:rsidR="004D1D1E" w:rsidRDefault="004D1D1E" w:rsidP="004D1D1E">
      <w:pPr>
        <w:pStyle w:val="ListParagraph"/>
        <w:numPr>
          <w:ilvl w:val="0"/>
          <w:numId w:val="1"/>
        </w:numPr>
        <w:spacing w:after="200"/>
      </w:pPr>
      <w:r>
        <w:t>From one LGPS scheme to anothe</w:t>
      </w:r>
      <w:bookmarkStart w:id="0" w:name="_GoBack"/>
      <w:bookmarkEnd w:id="0"/>
      <w:r>
        <w:t>r LGPS scheme,</w:t>
      </w:r>
    </w:p>
    <w:p w:rsidR="004D1D1E" w:rsidRDefault="004D1D1E" w:rsidP="004D1D1E">
      <w:proofErr w:type="gramStart"/>
      <w:r>
        <w:t>where</w:t>
      </w:r>
      <w:proofErr w:type="gramEnd"/>
      <w:r>
        <w:t xml:space="preserve"> the numbers of staff involved exceed 2 or 10 respectively.</w:t>
      </w:r>
    </w:p>
    <w:p w:rsidR="004D1D1E" w:rsidRDefault="004D1D1E" w:rsidP="004D1D1E"/>
    <w:p w:rsidR="004D1D1E" w:rsidRDefault="004D1D1E" w:rsidP="004D1D1E">
      <w:r>
        <w:t>Pension legislation is framed  generally so as to protect members’ pension rights ,  should these rights be  transferred between schemes, due to decisions made by their employers, central government etc. In essence, the value of a person’s pension rights in the old scheme must equal those transferred into the new scheme.</w:t>
      </w:r>
    </w:p>
    <w:p w:rsidR="004D1D1E" w:rsidRDefault="004D1D1E" w:rsidP="004D1D1E"/>
    <w:p w:rsidR="004D1D1E" w:rsidRDefault="004D1D1E" w:rsidP="004D1D1E">
      <w:r>
        <w:t>The transfer of pension rights ultimately involves cash moving from one pension scheme to another, and if a transfer, due to the numbers of staff involved, falls under the bulk transfer definition, a detailed calculation is required to be carried out by the respective funds’ actuaries. In simple terms the transferring out scheme wishes to minimise cash paid out, whilst the receiving scheme would seek the opposite.</w:t>
      </w:r>
    </w:p>
    <w:p w:rsidR="004D1D1E" w:rsidRDefault="004D1D1E" w:rsidP="004D1D1E"/>
    <w:p w:rsidR="004D1D1E" w:rsidRDefault="004D1D1E" w:rsidP="004D1D1E">
      <w:r>
        <w:t xml:space="preserve">When bulk transfers occur, respective funds must agree on a basis of calculation, specifically each schemes’ actuaries must agree a </w:t>
      </w:r>
      <w:proofErr w:type="gramStart"/>
      <w:r>
        <w:t>methodology  between</w:t>
      </w:r>
      <w:proofErr w:type="gramEnd"/>
      <w:r>
        <w:t xml:space="preserve"> themselves and with the agreement of the schemes’ managers.</w:t>
      </w:r>
    </w:p>
    <w:p w:rsidR="004D1D1E" w:rsidRDefault="004D1D1E" w:rsidP="004D1D1E"/>
    <w:p w:rsidR="004D1D1E" w:rsidRDefault="004D1D1E" w:rsidP="004D1D1E">
      <w:pPr>
        <w:rPr>
          <w:b/>
        </w:rPr>
      </w:pPr>
      <w:r>
        <w:rPr>
          <w:b/>
        </w:rPr>
        <w:t>Current Policy and Practice</w:t>
      </w:r>
    </w:p>
    <w:p w:rsidR="004D1D1E" w:rsidRDefault="004D1D1E" w:rsidP="004D1D1E">
      <w:pPr>
        <w:rPr>
          <w:b/>
        </w:rPr>
      </w:pPr>
    </w:p>
    <w:p w:rsidR="004D1D1E" w:rsidRDefault="004D1D1E" w:rsidP="004D1D1E">
      <w:r>
        <w:t xml:space="preserve">Existing </w:t>
      </w:r>
      <w:proofErr w:type="gramStart"/>
      <w:r>
        <w:t>policy  and</w:t>
      </w:r>
      <w:proofErr w:type="gramEnd"/>
      <w:r>
        <w:t xml:space="preserve"> practice is to treat each bulk transfer, with the agreement of parties involved, on a case-by-case basis.</w:t>
      </w:r>
    </w:p>
    <w:p w:rsidR="004D1D1E" w:rsidRDefault="004D1D1E" w:rsidP="004D1D1E"/>
    <w:p w:rsidR="004D1D1E" w:rsidRDefault="004D1D1E" w:rsidP="004D1D1E">
      <w:pPr>
        <w:rPr>
          <w:b/>
        </w:rPr>
      </w:pPr>
      <w:r>
        <w:rPr>
          <w:b/>
        </w:rPr>
        <w:t>Potential Change</w:t>
      </w:r>
    </w:p>
    <w:p w:rsidR="004D1D1E" w:rsidRDefault="004D1D1E" w:rsidP="004D1D1E">
      <w:pPr>
        <w:rPr>
          <w:b/>
        </w:rPr>
      </w:pPr>
    </w:p>
    <w:p w:rsidR="004D1D1E" w:rsidRDefault="004D1D1E" w:rsidP="004D1D1E">
      <w:proofErr w:type="gramStart"/>
      <w:r>
        <w:t>Pensions</w:t>
      </w:r>
      <w:proofErr w:type="gramEnd"/>
      <w:r>
        <w:t xml:space="preserve"> legislation and regulations prescribe the bulk transfer philosophy, but not the mechanics of calculation. Due to the potential complexities and unique circumstances involved, it is not advisable to draw up a detailed bulk transfer policy, but rather than to state general principles.</w:t>
      </w:r>
    </w:p>
    <w:p w:rsidR="004D1D1E" w:rsidRDefault="004D1D1E" w:rsidP="004D1D1E"/>
    <w:p w:rsidR="004D1D1E" w:rsidRDefault="004D1D1E" w:rsidP="004D1D1E">
      <w:pPr>
        <w:rPr>
          <w:b/>
        </w:rPr>
      </w:pPr>
      <w:r>
        <w:rPr>
          <w:b/>
        </w:rPr>
        <w:t>Recommendation</w:t>
      </w:r>
    </w:p>
    <w:p w:rsidR="004D1D1E" w:rsidRDefault="004D1D1E" w:rsidP="004D1D1E">
      <w:pPr>
        <w:rPr>
          <w:b/>
        </w:rPr>
      </w:pPr>
    </w:p>
    <w:p w:rsidR="004D1D1E" w:rsidRDefault="004D1D1E" w:rsidP="004D1D1E">
      <w:r>
        <w:t>To endorse current bulk transfer practice in accordance with regulations and law, but to state additionally the following principles:</w:t>
      </w:r>
    </w:p>
    <w:p w:rsidR="004D1D1E" w:rsidRDefault="004D1D1E" w:rsidP="004D1D1E"/>
    <w:p w:rsidR="004D1D1E" w:rsidRDefault="004D1D1E" w:rsidP="004D1D1E">
      <w:pPr>
        <w:pStyle w:val="ListParagraph"/>
        <w:numPr>
          <w:ilvl w:val="0"/>
          <w:numId w:val="2"/>
        </w:numPr>
      </w:pPr>
      <w:r>
        <w:t>LCPF will work with its actuary to determine the terms and assumptions used as a starting position for any bulk transfer exercise</w:t>
      </w:r>
    </w:p>
    <w:p w:rsidR="004D1D1E" w:rsidRDefault="004D1D1E" w:rsidP="004D1D1E"/>
    <w:p w:rsidR="004D1D1E" w:rsidRDefault="004D1D1E" w:rsidP="004D1D1E">
      <w:pPr>
        <w:pStyle w:val="ListParagraph"/>
        <w:numPr>
          <w:ilvl w:val="0"/>
          <w:numId w:val="3"/>
        </w:numPr>
        <w:spacing w:after="200"/>
      </w:pPr>
      <w:r>
        <w:t>LCPF will always seek to obtain, following actuarial advice, the best outcome for the fund and its members</w:t>
      </w:r>
    </w:p>
    <w:p w:rsidR="004D1D1E" w:rsidRDefault="004D1D1E" w:rsidP="004D1D1E">
      <w:pPr>
        <w:pStyle w:val="ListParagraph"/>
      </w:pPr>
    </w:p>
    <w:p w:rsidR="004D1D1E" w:rsidRDefault="004D1D1E" w:rsidP="004D1D1E">
      <w:pPr>
        <w:pStyle w:val="ListParagraph"/>
        <w:numPr>
          <w:ilvl w:val="0"/>
          <w:numId w:val="3"/>
        </w:numPr>
        <w:spacing w:after="200"/>
      </w:pPr>
      <w:r>
        <w:t>LCPF will seek to work with receiving schemes and their actuaries in a positive and constructive manner, seeking both to minimise its actuarial fees and time taken, and to obtain the best outcome for the fund and its members.</w:t>
      </w:r>
    </w:p>
    <w:p w:rsidR="004D1D1E" w:rsidRDefault="004D1D1E" w:rsidP="004D1D1E">
      <w:pPr>
        <w:pStyle w:val="ListParagraph"/>
        <w:rPr>
          <w:b/>
        </w:rPr>
      </w:pPr>
    </w:p>
    <w:p w:rsidR="004D1D1E" w:rsidRDefault="004D1D1E" w:rsidP="004D1D1E">
      <w:pPr>
        <w:rPr>
          <w:rFonts w:cs="Arial"/>
        </w:rPr>
      </w:pPr>
    </w:p>
    <w:p w:rsidR="004D1D1E" w:rsidRDefault="004D1D1E" w:rsidP="004D1D1E">
      <w:pPr>
        <w:rPr>
          <w:rFonts w:cs="Arial"/>
        </w:rPr>
      </w:pPr>
    </w:p>
    <w:p w:rsidR="004D1D1E" w:rsidRDefault="004D1D1E" w:rsidP="004D1D1E"/>
    <w:p w:rsidR="000A16E7" w:rsidRDefault="000A16E7"/>
    <w:sectPr w:rsidR="000A16E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1E" w:rsidRDefault="004D1D1E" w:rsidP="004D1D1E">
      <w:r>
        <w:separator/>
      </w:r>
    </w:p>
  </w:endnote>
  <w:endnote w:type="continuationSeparator" w:id="0">
    <w:p w:rsidR="004D1D1E" w:rsidRDefault="004D1D1E" w:rsidP="004D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1E" w:rsidRDefault="004D1D1E" w:rsidP="004D1D1E">
      <w:r>
        <w:separator/>
      </w:r>
    </w:p>
  </w:footnote>
  <w:footnote w:type="continuationSeparator" w:id="0">
    <w:p w:rsidR="004D1D1E" w:rsidRDefault="004D1D1E" w:rsidP="004D1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1E" w:rsidRDefault="004D1D1E" w:rsidP="004D1D1E">
    <w:pPr>
      <w:jc w:val="right"/>
      <w:rPr>
        <w:b/>
      </w:rPr>
    </w:pPr>
    <w:r>
      <w:rPr>
        <w:b/>
      </w:rPr>
      <w:t xml:space="preserve">Appendix </w:t>
    </w:r>
    <w:r w:rsidR="00A93871">
      <w:rPr>
        <w:b/>
      </w:rPr>
      <w:t>'</w:t>
    </w:r>
    <w:r>
      <w:rPr>
        <w:b/>
      </w:rPr>
      <w:t>E</w:t>
    </w:r>
    <w:r w:rsidR="00A93871">
      <w:rPr>
        <w:b/>
      </w:rPr>
      <w:t>'</w:t>
    </w:r>
  </w:p>
  <w:p w:rsidR="004D1D1E" w:rsidRDefault="004D1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10949"/>
    <w:multiLevelType w:val="hybridMultilevel"/>
    <w:tmpl w:val="A182A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535A71"/>
    <w:multiLevelType w:val="hybridMultilevel"/>
    <w:tmpl w:val="5730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1566E5D"/>
    <w:multiLevelType w:val="hybridMultilevel"/>
    <w:tmpl w:val="F6CC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1E"/>
    <w:rsid w:val="000064CE"/>
    <w:rsid w:val="00015165"/>
    <w:rsid w:val="00024F37"/>
    <w:rsid w:val="0002531B"/>
    <w:rsid w:val="00025744"/>
    <w:rsid w:val="0003304F"/>
    <w:rsid w:val="00035CA9"/>
    <w:rsid w:val="000402AB"/>
    <w:rsid w:val="00056C26"/>
    <w:rsid w:val="00066157"/>
    <w:rsid w:val="000A16E7"/>
    <w:rsid w:val="000B64D3"/>
    <w:rsid w:val="000B6A6D"/>
    <w:rsid w:val="000C1D23"/>
    <w:rsid w:val="000C6E73"/>
    <w:rsid w:val="000E5735"/>
    <w:rsid w:val="00101AF9"/>
    <w:rsid w:val="00101BDD"/>
    <w:rsid w:val="00101DBF"/>
    <w:rsid w:val="001042FF"/>
    <w:rsid w:val="00110C30"/>
    <w:rsid w:val="00115375"/>
    <w:rsid w:val="00117ED7"/>
    <w:rsid w:val="00130B59"/>
    <w:rsid w:val="001330DF"/>
    <w:rsid w:val="00141C8D"/>
    <w:rsid w:val="00143944"/>
    <w:rsid w:val="00152DA7"/>
    <w:rsid w:val="0016786B"/>
    <w:rsid w:val="001872DB"/>
    <w:rsid w:val="00193C2E"/>
    <w:rsid w:val="001A0EDB"/>
    <w:rsid w:val="001B0FBE"/>
    <w:rsid w:val="001D08AA"/>
    <w:rsid w:val="001D091D"/>
    <w:rsid w:val="001E4425"/>
    <w:rsid w:val="002058EA"/>
    <w:rsid w:val="002138AC"/>
    <w:rsid w:val="00216179"/>
    <w:rsid w:val="00222F58"/>
    <w:rsid w:val="00224BB6"/>
    <w:rsid w:val="00232A4C"/>
    <w:rsid w:val="00243C1E"/>
    <w:rsid w:val="00246718"/>
    <w:rsid w:val="002500BB"/>
    <w:rsid w:val="002524C0"/>
    <w:rsid w:val="00260D55"/>
    <w:rsid w:val="00263640"/>
    <w:rsid w:val="00270D04"/>
    <w:rsid w:val="0027151A"/>
    <w:rsid w:val="0027358D"/>
    <w:rsid w:val="00287F31"/>
    <w:rsid w:val="00293134"/>
    <w:rsid w:val="002A19C0"/>
    <w:rsid w:val="002C5EC4"/>
    <w:rsid w:val="002D6788"/>
    <w:rsid w:val="002E0B76"/>
    <w:rsid w:val="002E79F2"/>
    <w:rsid w:val="002F22E4"/>
    <w:rsid w:val="003021F7"/>
    <w:rsid w:val="0030329C"/>
    <w:rsid w:val="00304B14"/>
    <w:rsid w:val="00305BDC"/>
    <w:rsid w:val="00313C0A"/>
    <w:rsid w:val="00314227"/>
    <w:rsid w:val="0031685B"/>
    <w:rsid w:val="00326D1E"/>
    <w:rsid w:val="00332A06"/>
    <w:rsid w:val="00333F68"/>
    <w:rsid w:val="0033680D"/>
    <w:rsid w:val="00341A32"/>
    <w:rsid w:val="00343974"/>
    <w:rsid w:val="00350C65"/>
    <w:rsid w:val="00350F72"/>
    <w:rsid w:val="00360424"/>
    <w:rsid w:val="00373E83"/>
    <w:rsid w:val="0038257B"/>
    <w:rsid w:val="003865B9"/>
    <w:rsid w:val="00386C8C"/>
    <w:rsid w:val="00390FA9"/>
    <w:rsid w:val="003951A3"/>
    <w:rsid w:val="003A2B0A"/>
    <w:rsid w:val="003A7A99"/>
    <w:rsid w:val="003B36CD"/>
    <w:rsid w:val="003B515F"/>
    <w:rsid w:val="003B5416"/>
    <w:rsid w:val="003B7C8C"/>
    <w:rsid w:val="003C0C2E"/>
    <w:rsid w:val="003C39B3"/>
    <w:rsid w:val="003C7100"/>
    <w:rsid w:val="003D73FD"/>
    <w:rsid w:val="003F31E0"/>
    <w:rsid w:val="003F7831"/>
    <w:rsid w:val="0040160D"/>
    <w:rsid w:val="0041661E"/>
    <w:rsid w:val="0041709F"/>
    <w:rsid w:val="00420758"/>
    <w:rsid w:val="00421C64"/>
    <w:rsid w:val="0043378D"/>
    <w:rsid w:val="00454A8A"/>
    <w:rsid w:val="00460135"/>
    <w:rsid w:val="004701D9"/>
    <w:rsid w:val="0047792C"/>
    <w:rsid w:val="00496330"/>
    <w:rsid w:val="004B5FDB"/>
    <w:rsid w:val="004D1A3C"/>
    <w:rsid w:val="004D1D1E"/>
    <w:rsid w:val="004E014A"/>
    <w:rsid w:val="004E61D3"/>
    <w:rsid w:val="004F0EA3"/>
    <w:rsid w:val="004F5107"/>
    <w:rsid w:val="004F7368"/>
    <w:rsid w:val="00512615"/>
    <w:rsid w:val="00520E68"/>
    <w:rsid w:val="00522C49"/>
    <w:rsid w:val="00524C13"/>
    <w:rsid w:val="005352F2"/>
    <w:rsid w:val="00542AED"/>
    <w:rsid w:val="00553B39"/>
    <w:rsid w:val="005543D9"/>
    <w:rsid w:val="00554666"/>
    <w:rsid w:val="00562574"/>
    <w:rsid w:val="00563E68"/>
    <w:rsid w:val="00564B1C"/>
    <w:rsid w:val="00570C35"/>
    <w:rsid w:val="00571A83"/>
    <w:rsid w:val="00573236"/>
    <w:rsid w:val="00580177"/>
    <w:rsid w:val="00581DFE"/>
    <w:rsid w:val="00584EAF"/>
    <w:rsid w:val="00585275"/>
    <w:rsid w:val="005A2BD1"/>
    <w:rsid w:val="005A382C"/>
    <w:rsid w:val="005A5F13"/>
    <w:rsid w:val="005A7184"/>
    <w:rsid w:val="005A7B14"/>
    <w:rsid w:val="005B252D"/>
    <w:rsid w:val="005B398B"/>
    <w:rsid w:val="005B5CEA"/>
    <w:rsid w:val="005F3EF4"/>
    <w:rsid w:val="005F5320"/>
    <w:rsid w:val="005F72C6"/>
    <w:rsid w:val="00602383"/>
    <w:rsid w:val="00604E9A"/>
    <w:rsid w:val="00610E78"/>
    <w:rsid w:val="0062158E"/>
    <w:rsid w:val="00624AB3"/>
    <w:rsid w:val="00651865"/>
    <w:rsid w:val="006706A5"/>
    <w:rsid w:val="0067292B"/>
    <w:rsid w:val="0067500A"/>
    <w:rsid w:val="00693A3D"/>
    <w:rsid w:val="00695070"/>
    <w:rsid w:val="006A1BF7"/>
    <w:rsid w:val="006A4CE4"/>
    <w:rsid w:val="006A7E40"/>
    <w:rsid w:val="006B745D"/>
    <w:rsid w:val="006C5D2E"/>
    <w:rsid w:val="006C797C"/>
    <w:rsid w:val="006D2D40"/>
    <w:rsid w:val="006D3EA5"/>
    <w:rsid w:val="006E515C"/>
    <w:rsid w:val="006F27D4"/>
    <w:rsid w:val="007002C3"/>
    <w:rsid w:val="00710EF9"/>
    <w:rsid w:val="00716230"/>
    <w:rsid w:val="00720B58"/>
    <w:rsid w:val="00721FB9"/>
    <w:rsid w:val="00746DB8"/>
    <w:rsid w:val="00750373"/>
    <w:rsid w:val="007514FE"/>
    <w:rsid w:val="00751C3C"/>
    <w:rsid w:val="0075597E"/>
    <w:rsid w:val="007665CB"/>
    <w:rsid w:val="00770990"/>
    <w:rsid w:val="00776A26"/>
    <w:rsid w:val="007866C6"/>
    <w:rsid w:val="00792A88"/>
    <w:rsid w:val="007A1FBA"/>
    <w:rsid w:val="007A23D4"/>
    <w:rsid w:val="007B0BFA"/>
    <w:rsid w:val="007B6195"/>
    <w:rsid w:val="007C79FF"/>
    <w:rsid w:val="007E3B2E"/>
    <w:rsid w:val="007E5B43"/>
    <w:rsid w:val="007E7145"/>
    <w:rsid w:val="007F6A8E"/>
    <w:rsid w:val="00800ADE"/>
    <w:rsid w:val="00801FFE"/>
    <w:rsid w:val="00811240"/>
    <w:rsid w:val="00816262"/>
    <w:rsid w:val="008273C1"/>
    <w:rsid w:val="00837E95"/>
    <w:rsid w:val="00842CC2"/>
    <w:rsid w:val="008442A1"/>
    <w:rsid w:val="00851BF9"/>
    <w:rsid w:val="0086280F"/>
    <w:rsid w:val="00864A2A"/>
    <w:rsid w:val="00885EF4"/>
    <w:rsid w:val="008B1C85"/>
    <w:rsid w:val="008B6BB1"/>
    <w:rsid w:val="008C1511"/>
    <w:rsid w:val="009142FC"/>
    <w:rsid w:val="00915AEE"/>
    <w:rsid w:val="00936CB3"/>
    <w:rsid w:val="00943D88"/>
    <w:rsid w:val="00947234"/>
    <w:rsid w:val="00980B19"/>
    <w:rsid w:val="009940F7"/>
    <w:rsid w:val="009A4E75"/>
    <w:rsid w:val="009A66E0"/>
    <w:rsid w:val="009C0FB7"/>
    <w:rsid w:val="009F299D"/>
    <w:rsid w:val="00A0383D"/>
    <w:rsid w:val="00A04B65"/>
    <w:rsid w:val="00A2590C"/>
    <w:rsid w:val="00A33A83"/>
    <w:rsid w:val="00A33FDA"/>
    <w:rsid w:val="00A34F20"/>
    <w:rsid w:val="00A3683C"/>
    <w:rsid w:val="00A46DC2"/>
    <w:rsid w:val="00A506BC"/>
    <w:rsid w:val="00A52873"/>
    <w:rsid w:val="00A70A4B"/>
    <w:rsid w:val="00A71887"/>
    <w:rsid w:val="00A91AD0"/>
    <w:rsid w:val="00A93871"/>
    <w:rsid w:val="00A94EB7"/>
    <w:rsid w:val="00A95C73"/>
    <w:rsid w:val="00AB5FA2"/>
    <w:rsid w:val="00AC04E8"/>
    <w:rsid w:val="00AC429F"/>
    <w:rsid w:val="00AD357B"/>
    <w:rsid w:val="00AD3D80"/>
    <w:rsid w:val="00AE743E"/>
    <w:rsid w:val="00AE7CD8"/>
    <w:rsid w:val="00B0146B"/>
    <w:rsid w:val="00B0201F"/>
    <w:rsid w:val="00B322BD"/>
    <w:rsid w:val="00B3283F"/>
    <w:rsid w:val="00B34E46"/>
    <w:rsid w:val="00B435B3"/>
    <w:rsid w:val="00B536D6"/>
    <w:rsid w:val="00B56A6A"/>
    <w:rsid w:val="00B621C8"/>
    <w:rsid w:val="00B76F1A"/>
    <w:rsid w:val="00B77072"/>
    <w:rsid w:val="00B8537C"/>
    <w:rsid w:val="00B87228"/>
    <w:rsid w:val="00B9183C"/>
    <w:rsid w:val="00BA429A"/>
    <w:rsid w:val="00BA5C9F"/>
    <w:rsid w:val="00BA629E"/>
    <w:rsid w:val="00BC1690"/>
    <w:rsid w:val="00BC44DB"/>
    <w:rsid w:val="00BC5FE6"/>
    <w:rsid w:val="00BC60FA"/>
    <w:rsid w:val="00BD33E7"/>
    <w:rsid w:val="00BD594D"/>
    <w:rsid w:val="00BD6867"/>
    <w:rsid w:val="00BE029F"/>
    <w:rsid w:val="00BE1155"/>
    <w:rsid w:val="00BE4623"/>
    <w:rsid w:val="00BE4F31"/>
    <w:rsid w:val="00C00F82"/>
    <w:rsid w:val="00C02E97"/>
    <w:rsid w:val="00C04E28"/>
    <w:rsid w:val="00C11F45"/>
    <w:rsid w:val="00C120D9"/>
    <w:rsid w:val="00C1386B"/>
    <w:rsid w:val="00C15105"/>
    <w:rsid w:val="00C15823"/>
    <w:rsid w:val="00C169E2"/>
    <w:rsid w:val="00C205AF"/>
    <w:rsid w:val="00C247AE"/>
    <w:rsid w:val="00C41764"/>
    <w:rsid w:val="00C425EB"/>
    <w:rsid w:val="00C4584C"/>
    <w:rsid w:val="00C54E6D"/>
    <w:rsid w:val="00C6477D"/>
    <w:rsid w:val="00C66187"/>
    <w:rsid w:val="00C72B57"/>
    <w:rsid w:val="00C811EB"/>
    <w:rsid w:val="00CC26B2"/>
    <w:rsid w:val="00CD001F"/>
    <w:rsid w:val="00CD1A16"/>
    <w:rsid w:val="00CF30E2"/>
    <w:rsid w:val="00CF52EE"/>
    <w:rsid w:val="00CF5EDD"/>
    <w:rsid w:val="00CF7A08"/>
    <w:rsid w:val="00D15482"/>
    <w:rsid w:val="00D2702C"/>
    <w:rsid w:val="00D3470B"/>
    <w:rsid w:val="00D632B1"/>
    <w:rsid w:val="00D63624"/>
    <w:rsid w:val="00D644C0"/>
    <w:rsid w:val="00D7351A"/>
    <w:rsid w:val="00D7475B"/>
    <w:rsid w:val="00D75B9C"/>
    <w:rsid w:val="00D95444"/>
    <w:rsid w:val="00DA6C83"/>
    <w:rsid w:val="00DC1AC2"/>
    <w:rsid w:val="00DE5563"/>
    <w:rsid w:val="00DF2095"/>
    <w:rsid w:val="00E00CA6"/>
    <w:rsid w:val="00E0137B"/>
    <w:rsid w:val="00E0289E"/>
    <w:rsid w:val="00E133D4"/>
    <w:rsid w:val="00E163CE"/>
    <w:rsid w:val="00E22003"/>
    <w:rsid w:val="00E30108"/>
    <w:rsid w:val="00E352CD"/>
    <w:rsid w:val="00E37A57"/>
    <w:rsid w:val="00E4667E"/>
    <w:rsid w:val="00E46B1D"/>
    <w:rsid w:val="00E502EF"/>
    <w:rsid w:val="00E540A6"/>
    <w:rsid w:val="00E552E1"/>
    <w:rsid w:val="00E67D5D"/>
    <w:rsid w:val="00E7498F"/>
    <w:rsid w:val="00E749CF"/>
    <w:rsid w:val="00E80610"/>
    <w:rsid w:val="00E87B52"/>
    <w:rsid w:val="00E91371"/>
    <w:rsid w:val="00EA7964"/>
    <w:rsid w:val="00EB04F9"/>
    <w:rsid w:val="00EC25C5"/>
    <w:rsid w:val="00EC2FFF"/>
    <w:rsid w:val="00EC3DB9"/>
    <w:rsid w:val="00ED7054"/>
    <w:rsid w:val="00EF07A6"/>
    <w:rsid w:val="00F014AF"/>
    <w:rsid w:val="00F014DD"/>
    <w:rsid w:val="00F06C99"/>
    <w:rsid w:val="00F20DD8"/>
    <w:rsid w:val="00F26D9C"/>
    <w:rsid w:val="00F2790C"/>
    <w:rsid w:val="00F32D0D"/>
    <w:rsid w:val="00F32EE1"/>
    <w:rsid w:val="00F3336D"/>
    <w:rsid w:val="00F41523"/>
    <w:rsid w:val="00F41954"/>
    <w:rsid w:val="00F4411E"/>
    <w:rsid w:val="00F64AF6"/>
    <w:rsid w:val="00F66484"/>
    <w:rsid w:val="00F6649B"/>
    <w:rsid w:val="00F670C2"/>
    <w:rsid w:val="00F91D2D"/>
    <w:rsid w:val="00FC182B"/>
    <w:rsid w:val="00FC1B31"/>
    <w:rsid w:val="00FE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FD5E2C-2539-4B79-8AF3-DB81E13C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1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1E"/>
    <w:pPr>
      <w:ind w:left="720"/>
      <w:contextualSpacing/>
    </w:pPr>
    <w:rPr>
      <w:szCs w:val="24"/>
    </w:rPr>
  </w:style>
  <w:style w:type="paragraph" w:styleId="Header">
    <w:name w:val="header"/>
    <w:basedOn w:val="Normal"/>
    <w:link w:val="HeaderChar"/>
    <w:uiPriority w:val="99"/>
    <w:unhideWhenUsed/>
    <w:rsid w:val="004D1D1E"/>
    <w:pPr>
      <w:tabs>
        <w:tab w:val="center" w:pos="4513"/>
        <w:tab w:val="right" w:pos="9026"/>
      </w:tabs>
    </w:pPr>
  </w:style>
  <w:style w:type="character" w:customStyle="1" w:styleId="HeaderChar">
    <w:name w:val="Header Char"/>
    <w:basedOn w:val="DefaultParagraphFont"/>
    <w:link w:val="Header"/>
    <w:uiPriority w:val="99"/>
    <w:rsid w:val="004D1D1E"/>
    <w:rPr>
      <w:rFonts w:ascii="Arial" w:hAnsi="Arial"/>
      <w:sz w:val="24"/>
    </w:rPr>
  </w:style>
  <w:style w:type="paragraph" w:styleId="Footer">
    <w:name w:val="footer"/>
    <w:basedOn w:val="Normal"/>
    <w:link w:val="FooterChar"/>
    <w:uiPriority w:val="99"/>
    <w:unhideWhenUsed/>
    <w:rsid w:val="004D1D1E"/>
    <w:pPr>
      <w:tabs>
        <w:tab w:val="center" w:pos="4513"/>
        <w:tab w:val="right" w:pos="9026"/>
      </w:tabs>
    </w:pPr>
  </w:style>
  <w:style w:type="character" w:customStyle="1" w:styleId="FooterChar">
    <w:name w:val="Footer Char"/>
    <w:basedOn w:val="DefaultParagraphFont"/>
    <w:link w:val="Footer"/>
    <w:uiPriority w:val="99"/>
    <w:rsid w:val="004D1D1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3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Chris</dc:creator>
  <cp:keywords/>
  <dc:description/>
  <cp:lastModifiedBy>Mather, Chris</cp:lastModifiedBy>
  <cp:revision>2</cp:revision>
  <dcterms:created xsi:type="dcterms:W3CDTF">2015-05-21T10:35:00Z</dcterms:created>
  <dcterms:modified xsi:type="dcterms:W3CDTF">2015-05-21T10:38:00Z</dcterms:modified>
</cp:coreProperties>
</file>